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Додаток 2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енергетичного маркування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обігрівачів приміщень, комбінованих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обігрівачів, комплектів з обігрівача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приміщень, регулятора температури і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сонячної установки та комплектів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з комбінованого обігрівача,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регулятора температури і сонячної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установки </w:t>
      </w:r>
    </w:p>
    <w:p w:rsidR="00A86E6B" w:rsidRPr="0045112F" w:rsidRDefault="007A2B2A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(пункт 2 розділу ІІ)</w:t>
      </w:r>
    </w:p>
    <w:p w:rsidR="00A86E6B" w:rsidRPr="0045112F" w:rsidRDefault="00A86E6B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:rsidR="00A86E6B" w:rsidRPr="0045112F" w:rsidRDefault="00A86E6B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Класи сезонної енергоефективності</w:t>
      </w:r>
    </w:p>
    <w:p w:rsidR="00A86E6B" w:rsidRPr="0045112F" w:rsidRDefault="00A86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 Клас сезонної енергоефективності обігріву приміщення, за винятком використання низькотемпературних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обігрівачів приміщень з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застосування за низьких температур, визначається на основі показників сезонної енергоефективності обігріву приміщення, як зазначено в таблиці 1 цього додатка.</w:t>
      </w: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 Клас сезонної енергоефективності обігріву приміщення з використанням низькотемпературного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теплонасоса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обігрівача приміщення з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застосування за низьких температур визначаються на основі показників сезонної енергоефективності обігріву приміщення, як зазначено в таблиці 2 цього додатка.</w:t>
      </w: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 Сезонна енергоефективність обігріву приміщення для обігрівачів приміщень з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комбінованих обігрівачів з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br/>
        <w:t xml:space="preserve">і низькотемпературних </w:t>
      </w:r>
      <w:proofErr w:type="spellStart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тепліших кліматичних умов обчислюється відповідно до пунктів 3 та 4 додатка 7 до Технічного регламенту енергетичного маркування обігрівачів приміщень, комбінованих обігрівачів, комплектів 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 (далі – Технічний регламент).</w:t>
      </w: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4. Клас сезонної енергоефективності нагрівання води комбінованого обігрівача визначається на основі показників енергоефективності нагрівання води, як зазначено в таблиці 3 цього додатка.</w:t>
      </w: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5. Енергоефективність нагрівання води комбінованого обігрівача обчислюється відповідно до пункту  4 додатка 7 до Технічного регламенту.</w:t>
      </w:r>
    </w:p>
    <w:p w:rsidR="00A86E6B" w:rsidRPr="0045112F" w:rsidRDefault="007A2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6. Клас сезонної енергоефективності бака-акумулятора, який є компонентом сонячної установки, визначається на основі його теплових втрат, як зазначено в таблиці 4 цього додатка.</w:t>
      </w:r>
    </w:p>
    <w:p w:rsidR="00A86E6B" w:rsidRPr="0045112F" w:rsidRDefault="00A86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7A2B2A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Таблиця 1</w:t>
      </w: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val="uk-UA" w:eastAsia="ru-RU"/>
        </w:rPr>
      </w:pP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Класи сезонної енергоефективності обігріву приміщення,</w:t>
      </w: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за винятком використання низькотемпературних </w:t>
      </w:r>
      <w:proofErr w:type="spellStart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теплонасосів</w:t>
      </w:r>
      <w:proofErr w:type="spellEnd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 обігрівачів приміщень з </w:t>
      </w:r>
      <w:proofErr w:type="spellStart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для застосування за низьких температур</w:t>
      </w:r>
    </w:p>
    <w:p w:rsidR="00A86E6B" w:rsidRPr="0045112F" w:rsidRDefault="00A86E6B">
      <w:pPr>
        <w:spacing w:after="0" w:line="240" w:lineRule="auto"/>
        <w:jc w:val="center"/>
        <w:rPr>
          <w:rFonts w:ascii="Times New Roman" w:eastAsia="Times New Roman" w:hAnsi="Times New Roman"/>
          <w:b/>
          <w:sz w:val="6"/>
          <w:szCs w:val="6"/>
          <w:lang w:val="uk-UA" w:eastAsia="ru-RU"/>
        </w:rPr>
      </w:pPr>
    </w:p>
    <w:tbl>
      <w:tblPr>
        <w:tblW w:w="0" w:type="auto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A86E6B" w:rsidRPr="0045112F">
        <w:trPr>
          <w:trHeight w:val="631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Клас сезонної енергоефективності обігріву приміщення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Сезонна енергоефективність обігріву приміщення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, у відсотках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+++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150 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125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150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98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125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90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98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B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82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90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C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75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82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D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36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75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E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34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36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F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30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34</w:t>
            </w:r>
          </w:p>
        </w:tc>
      </w:tr>
      <w:tr w:rsidR="00A86E6B" w:rsidRPr="0045112F">
        <w:trPr>
          <w:cantSplit/>
          <w:trHeight w:hRule="exact" w:val="340"/>
        </w:trPr>
        <w:tc>
          <w:tcPr>
            <w:tcW w:w="4818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G</w:t>
            </w:r>
          </w:p>
        </w:tc>
        <w:tc>
          <w:tcPr>
            <w:tcW w:w="4819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30</w:t>
            </w:r>
          </w:p>
        </w:tc>
      </w:tr>
    </w:tbl>
    <w:p w:rsidR="00A86E6B" w:rsidRPr="0045112F" w:rsidRDefault="00A86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7A2B2A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Таблиця 2</w:t>
      </w: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val="uk-UA" w:eastAsia="ru-RU"/>
        </w:rPr>
      </w:pP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Класи сезонної енергоефективності обігріву приміщення з використанням низькотемпературних </w:t>
      </w:r>
      <w:proofErr w:type="spellStart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теплонасосів</w:t>
      </w:r>
      <w:proofErr w:type="spellEnd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та обігрівачів приміщень </w:t>
      </w: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з </w:t>
      </w:r>
      <w:proofErr w:type="spellStart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теплонасосом</w:t>
      </w:r>
      <w:proofErr w:type="spellEnd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для застосування за низьких температур</w:t>
      </w:r>
    </w:p>
    <w:p w:rsidR="00A86E6B" w:rsidRPr="0045112F" w:rsidRDefault="00A86E6B">
      <w:pPr>
        <w:spacing w:after="0" w:line="240" w:lineRule="auto"/>
        <w:jc w:val="center"/>
        <w:rPr>
          <w:rFonts w:ascii="Times New Roman" w:eastAsia="Times New Roman" w:hAnsi="Times New Roman"/>
          <w:b/>
          <w:sz w:val="6"/>
          <w:szCs w:val="6"/>
          <w:lang w:val="uk-UA" w:eastAsia="ru-RU"/>
        </w:rPr>
      </w:pPr>
    </w:p>
    <w:tbl>
      <w:tblPr>
        <w:tblW w:w="0" w:type="auto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91"/>
        <w:gridCol w:w="5046"/>
      </w:tblGrid>
      <w:tr w:rsidR="00A86E6B" w:rsidRPr="0045112F">
        <w:trPr>
          <w:trHeight w:val="644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Клас сезонної енергоефективності обігріву приміщення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Сезонна енергоефективність обігріву приміщення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, у відсотках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+++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175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150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175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123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150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115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123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B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107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115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C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100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107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D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61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100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E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59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61</w:t>
            </w:r>
          </w:p>
        </w:tc>
      </w:tr>
      <w:tr w:rsidR="00A86E6B" w:rsidRPr="0045112F">
        <w:trPr>
          <w:cantSplit/>
          <w:trHeight w:hRule="exact" w:val="388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F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55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59</w:t>
            </w:r>
          </w:p>
        </w:tc>
      </w:tr>
      <w:tr w:rsidR="00A86E6B" w:rsidRPr="0045112F">
        <w:trPr>
          <w:cantSplit/>
          <w:trHeight w:hRule="exact" w:val="565"/>
        </w:trPr>
        <w:tc>
          <w:tcPr>
            <w:tcW w:w="4591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G</w:t>
            </w:r>
          </w:p>
        </w:tc>
        <w:tc>
          <w:tcPr>
            <w:tcW w:w="504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s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55</w:t>
            </w:r>
          </w:p>
        </w:tc>
      </w:tr>
    </w:tbl>
    <w:p w:rsidR="00A86E6B" w:rsidRPr="0045112F" w:rsidRDefault="00A86E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  <w:sectPr w:rsidR="00A86E6B" w:rsidRPr="0045112F">
          <w:headerReference w:type="default" r:id="rId8"/>
          <w:pgSz w:w="11906" w:h="16838"/>
          <w:pgMar w:top="1021" w:right="567" w:bottom="1021" w:left="1701" w:header="709" w:footer="709" w:gutter="0"/>
          <w:cols w:space="708"/>
          <w:titlePg/>
          <w:docGrid w:linePitch="360"/>
        </w:sectPr>
      </w:pPr>
    </w:p>
    <w:p w:rsidR="00A86E6B" w:rsidRPr="0045112F" w:rsidRDefault="007A2B2A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Таблиця 3</w:t>
      </w:r>
    </w:p>
    <w:p w:rsidR="00A86E6B" w:rsidRPr="0045112F" w:rsidRDefault="00A86E6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Класи сезонної енергоефективності нагрівання води комбінованими обігрівачами, класифікованими за заявленими профілями навантаження </w:t>
      </w:r>
      <w:proofErr w:type="spellStart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η</w:t>
      </w:r>
      <w:r w:rsidRPr="0045112F">
        <w:rPr>
          <w:rFonts w:ascii="Times New Roman" w:eastAsia="Times New Roman" w:hAnsi="Times New Roman"/>
          <w:b/>
          <w:sz w:val="28"/>
          <w:szCs w:val="28"/>
          <w:vertAlign w:val="subscript"/>
          <w:lang w:val="uk-UA" w:eastAsia="ru-RU"/>
        </w:rPr>
        <w:t>wh</w:t>
      </w:r>
      <w:proofErr w:type="spellEnd"/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 у відсотках</w:t>
      </w:r>
    </w:p>
    <w:p w:rsidR="00A86E6B" w:rsidRPr="0045112F" w:rsidRDefault="00A86E6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15024" w:type="dxa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Layout w:type="fixed"/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7"/>
        <w:gridCol w:w="1701"/>
        <w:gridCol w:w="1701"/>
        <w:gridCol w:w="1701"/>
        <w:gridCol w:w="1701"/>
        <w:gridCol w:w="1843"/>
        <w:gridCol w:w="1843"/>
        <w:gridCol w:w="1842"/>
        <w:gridCol w:w="1985"/>
      </w:tblGrid>
      <w:tr w:rsidR="00A86E6B" w:rsidRPr="0045112F">
        <w:trPr>
          <w:trHeight w:val="340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A86E6B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3XS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XXS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XS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S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M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L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XL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XXL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+++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62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62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69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90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163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188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200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≥ 213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++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61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72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90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130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163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150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188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160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170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213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44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53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44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53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61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72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100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130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115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150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123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131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170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A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44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44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38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53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38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55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65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100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75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115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80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123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85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131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B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35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35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38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38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65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75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55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80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60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85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C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35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35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39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37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50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38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55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40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60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D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32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36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34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37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35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38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40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E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26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26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26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29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33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34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35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32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36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F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19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22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20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23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26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23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26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27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30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27 ≤ </w:t>
            </w: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30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27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 xml:space="preserve"> 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&lt; 30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28 ≤ </w:t>
            </w:r>
            <w:proofErr w:type="spellStart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з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bscript"/>
                <w:lang w:val="uk-UA"/>
              </w:rPr>
              <w:t xml:space="preserve"> 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&lt; 32</w:t>
            </w:r>
          </w:p>
        </w:tc>
      </w:tr>
      <w:tr w:rsidR="00A86E6B" w:rsidRPr="0045112F">
        <w:trPr>
          <w:trHeight w:val="454"/>
        </w:trPr>
        <w:tc>
          <w:tcPr>
            <w:tcW w:w="707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G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19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20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23</w:t>
            </w:r>
          </w:p>
        </w:tc>
        <w:tc>
          <w:tcPr>
            <w:tcW w:w="1701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23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27</w:t>
            </w:r>
          </w:p>
        </w:tc>
        <w:tc>
          <w:tcPr>
            <w:tcW w:w="1843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27</w:t>
            </w:r>
          </w:p>
        </w:tc>
        <w:tc>
          <w:tcPr>
            <w:tcW w:w="1842" w:type="dxa"/>
            <w:tcBorders>
              <w:lef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27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sz w:val="26"/>
                <w:szCs w:val="26"/>
                <w:lang w:val="uk-UA" w:eastAsia="ru-RU"/>
              </w:rPr>
              <w:t>η</w:t>
            </w:r>
            <w:proofErr w:type="spellStart"/>
            <w:r w:rsidRPr="0045112F">
              <w:rPr>
                <w:rFonts w:ascii="Times New Roman" w:hAnsi="Times New Roman" w:cs="Times New Roman"/>
                <w:iCs/>
                <w:color w:val="auto"/>
                <w:spacing w:val="-1"/>
                <w:position w:val="-3"/>
                <w:sz w:val="26"/>
                <w:szCs w:val="26"/>
                <w:vertAlign w:val="subscript"/>
                <w:lang w:val="uk-UA" w:eastAsia="ru-RU"/>
              </w:rPr>
              <w:t>wh</w:t>
            </w:r>
            <w:proofErr w:type="spellEnd"/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&lt; 28</w:t>
            </w:r>
          </w:p>
        </w:tc>
      </w:tr>
    </w:tbl>
    <w:p w:rsidR="00A86E6B" w:rsidRPr="0045112F" w:rsidRDefault="00A86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6E6B" w:rsidRPr="0045112F" w:rsidRDefault="00A86E6B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/>
          <w:sz w:val="9"/>
          <w:szCs w:val="9"/>
          <w:lang w:val="uk-UA" w:eastAsia="ru-RU"/>
        </w:rPr>
        <w:sectPr w:rsidR="00A86E6B" w:rsidRPr="0045112F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A86E6B" w:rsidRPr="0045112F" w:rsidRDefault="00A86E6B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/>
          <w:sz w:val="9"/>
          <w:szCs w:val="9"/>
          <w:lang w:val="uk-UA" w:eastAsia="ru-RU"/>
        </w:rPr>
      </w:pPr>
    </w:p>
    <w:p w:rsidR="00A86E6B" w:rsidRPr="0045112F" w:rsidRDefault="007A2B2A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sz w:val="28"/>
          <w:szCs w:val="28"/>
          <w:lang w:val="uk-UA" w:eastAsia="ru-RU"/>
        </w:rPr>
        <w:t>Таблиця 4</w:t>
      </w:r>
    </w:p>
    <w:p w:rsidR="00A86E6B" w:rsidRPr="0045112F" w:rsidRDefault="007A2B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Класи сезонної енергоефективності баків-акумуляторів, </w:t>
      </w:r>
      <w:r w:rsidRPr="004511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br/>
        <w:t>які є компонентом сонячної установки</w:t>
      </w:r>
    </w:p>
    <w:p w:rsidR="00A86E6B" w:rsidRPr="0045112F" w:rsidRDefault="00A86E6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uk-UA" w:eastAsia="ru-RU"/>
        </w:rPr>
      </w:pPr>
    </w:p>
    <w:tbl>
      <w:tblPr>
        <w:tblW w:w="0" w:type="auto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75"/>
        <w:gridCol w:w="6378"/>
      </w:tblGrid>
      <w:tr w:rsidR="00A86E6B" w:rsidRPr="00412804">
        <w:trPr>
          <w:trHeight w:val="800"/>
        </w:trPr>
        <w:tc>
          <w:tcPr>
            <w:tcW w:w="2975" w:type="dxa"/>
            <w:shd w:val="clear" w:color="auto" w:fill="FFFFFF"/>
            <w:tcMar>
              <w:left w:w="45" w:type="dxa"/>
            </w:tcMar>
            <w:vAlign w:val="center"/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Клас енергоефективності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  <w:vAlign w:val="center"/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 w:eastAsia="ru-RU"/>
              </w:rPr>
              <w:t>Постійні теплові втрати</w:t>
            </w:r>
            <w:r w:rsidRPr="0045112F">
              <w:rPr>
                <w:rFonts w:ascii="Times New Roman" w:hAnsi="Times New Roman" w:cs="Times New Roman"/>
                <w:iCs/>
                <w:color w:val="auto"/>
                <w:sz w:val="26"/>
                <w:szCs w:val="26"/>
                <w:lang w:val="uk-UA"/>
              </w:rPr>
              <w:t xml:space="preserve"> S,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Вт, 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br/>
              <w:t>з об'ємом зберігання V,  л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А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+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S &lt; 5,5 + 3,16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A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5,5 + 3,16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8,5 + 4,25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B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8,5 + 4,25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12 + 5,93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C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12 + 5,93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16,66 + 8,33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D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16,66 + 8,33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21 + 10,33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E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21 + 10,33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26 + 13,66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F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26 + 13,66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≤ S &lt; 31 + 16,66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 xml:space="preserve"> </w:t>
            </w:r>
          </w:p>
        </w:tc>
      </w:tr>
      <w:tr w:rsidR="00A86E6B" w:rsidRPr="0045112F">
        <w:trPr>
          <w:trHeight w:val="340"/>
        </w:trPr>
        <w:tc>
          <w:tcPr>
            <w:tcW w:w="2975" w:type="dxa"/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G</w:t>
            </w:r>
          </w:p>
        </w:tc>
        <w:tc>
          <w:tcPr>
            <w:tcW w:w="6378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45" w:type="dxa"/>
            </w:tcMar>
          </w:tcPr>
          <w:p w:rsidR="00A86E6B" w:rsidRPr="0045112F" w:rsidRDefault="007A2B2A">
            <w:pPr>
              <w:pStyle w:val="a4"/>
              <w:spacing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S &gt; 31 + 16,66 ∙ V</w:t>
            </w:r>
            <w:r w:rsidRPr="0045112F">
              <w:rPr>
                <w:rFonts w:ascii="Times New Roman" w:hAnsi="Times New Roman" w:cs="Times New Roman"/>
                <w:color w:val="auto"/>
                <w:sz w:val="26"/>
                <w:szCs w:val="26"/>
                <w:vertAlign w:val="superscript"/>
                <w:lang w:val="uk-UA"/>
              </w:rPr>
              <w:t>0,4</w:t>
            </w:r>
          </w:p>
        </w:tc>
      </w:tr>
    </w:tbl>
    <w:p w:rsidR="00A86E6B" w:rsidRPr="0045112F" w:rsidRDefault="00A86E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A86E6B" w:rsidRPr="004511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EC" w:rsidRDefault="006009EC">
      <w:pPr>
        <w:spacing w:after="0" w:line="240" w:lineRule="auto"/>
      </w:pPr>
      <w:r>
        <w:separator/>
      </w:r>
    </w:p>
  </w:endnote>
  <w:endnote w:type="continuationSeparator" w:id="0">
    <w:p w:rsidR="006009EC" w:rsidRDefault="0060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EC" w:rsidRDefault="006009EC">
      <w:pPr>
        <w:spacing w:after="0" w:line="240" w:lineRule="auto"/>
      </w:pPr>
      <w:r>
        <w:separator/>
      </w:r>
    </w:p>
  </w:footnote>
  <w:footnote w:type="continuationSeparator" w:id="0">
    <w:p w:rsidR="006009EC" w:rsidRDefault="00600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6B" w:rsidRDefault="007A2B2A">
    <w:pPr>
      <w:framePr w:h="451" w:hRule="exact" w:wrap="around" w:vAnchor="text" w:hAnchor="page" w:x="6136" w:y="-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 w:rsidR="00412804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A86E6B" w:rsidRPr="0045112F" w:rsidRDefault="007A2B2A">
    <w:pPr>
      <w:pStyle w:val="a6"/>
      <w:jc w:val="right"/>
      <w:rPr>
        <w:rFonts w:ascii="Times New Roman" w:hAnsi="Times New Roman"/>
        <w:sz w:val="28"/>
        <w:szCs w:val="28"/>
        <w:lang w:val="uk-UA"/>
      </w:rPr>
    </w:pPr>
    <w:r w:rsidRPr="0045112F">
      <w:rPr>
        <w:rFonts w:ascii="Times New Roman" w:hAnsi="Times New Roman"/>
        <w:sz w:val="28"/>
        <w:szCs w:val="28"/>
        <w:lang w:val="uk-UA"/>
      </w:rPr>
      <w:t>Продовження додатка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E6B"/>
    <w:rsid w:val="00412804"/>
    <w:rsid w:val="0045112F"/>
    <w:rsid w:val="006009EC"/>
    <w:rsid w:val="007A2B2A"/>
    <w:rsid w:val="00A86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pPr>
      <w:spacing w:before="120" w:after="0" w:line="240" w:lineRule="auto"/>
      <w:ind w:firstLine="567"/>
      <w:jc w:val="both"/>
    </w:pPr>
    <w:rPr>
      <w:rFonts w:ascii="Antiqua" w:eastAsia="Times New Roman" w:hAnsi="Antiqua"/>
      <w:sz w:val="26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uiPriority w:val="99"/>
    <w:pPr>
      <w:widowControl w:val="0"/>
      <w:suppressAutoHyphens/>
      <w:overflowPunct w:val="0"/>
    </w:pPr>
    <w:rPr>
      <w:rFonts w:ascii="EUAlbertina" w:eastAsia="SimSun" w:hAnsi="EUAlbertina" w:cs="Calibri"/>
      <w:color w:val="00000A"/>
      <w:sz w:val="24"/>
    </w:rPr>
  </w:style>
  <w:style w:type="paragraph" w:styleId="a5">
    <w:name w:val="List Paragraph"/>
    <w:basedOn w:val="a"/>
    <w:uiPriority w:val="1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4AE84-E307-46B0-B091-18936A2A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Mahmurov</dc:creator>
  <cp:lastModifiedBy>Radchenko</cp:lastModifiedBy>
  <cp:revision>10</cp:revision>
  <cp:lastPrinted>2018-12-12T10:27:00Z</cp:lastPrinted>
  <dcterms:created xsi:type="dcterms:W3CDTF">2019-08-30T13:29:00Z</dcterms:created>
  <dcterms:modified xsi:type="dcterms:W3CDTF">2020-07-13T08:26:00Z</dcterms:modified>
</cp:coreProperties>
</file>